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19325A"/>
          <w:sz w:val="44"/>
        </w:rPr>
        <w:t>Отчет по анализу архива address_query</w:t>
      </w:r>
    </w:p>
    <w:p>
      <w:pPr>
        <w:jc w:val="center"/>
      </w:pPr>
      <w:r>
        <w:rPr>
          <w:rFonts w:ascii="Arial" w:hAnsi="Arial" w:eastAsia="Arial"/>
          <w:sz w:val="24"/>
        </w:rPr>
        <w:t>Инвентаризация разметки 1С, покрытие доменов и статус runtime-сценариев</w:t>
      </w:r>
    </w:p>
    <w:p>
      <w:pPr>
        <w:pStyle w:val="SmallGray"/>
        <w:jc w:val="center"/>
      </w:pPr>
      <w:r>
        <w:t>Источник: архив address_query.zip | Дата документов внутри архива: 2026-03-29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38"/>
        <w:gridCol w:w="6690"/>
      </w:tblGrid>
      <w:tr>
        <w:tc>
          <w:tcPr>
            <w:tcW w:type="dxa" w:w="4929"/>
            <w:vAlign w:val="center"/>
            <w:shd w:fill="D9EAF7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20"/>
              </w:rPr>
              <w:t>Главный вывод</w:t>
            </w:r>
          </w:p>
        </w:tc>
        <w:tc>
          <w:tcPr>
            <w:tcW w:type="dxa" w:w="4929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20"/>
              </w:rPr>
              <w:t>Архив посвящен не общему налоговому/НДС-контуру, а отдельному runtime-режиму address_query для factual lookup по взаиморасчетам, договорам, документам, банковским операциям и остаткам по счетам.</w:t>
            </w:r>
          </w:p>
        </w:tc>
      </w:tr>
      <w:tr>
        <w:tc>
          <w:tcPr>
            <w:tcW w:type="dxa" w:w="4929"/>
            <w:vAlign w:val="center"/>
            <w:shd w:fill="EAF3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20"/>
              </w:rPr>
              <w:t>Масштаб inventory</w:t>
            </w:r>
          </w:p>
        </w:tc>
        <w:tc>
          <w:tcPr>
            <w:tcW w:type="dxa" w:w="4929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20"/>
              </w:rPr>
              <w:t>Обработано 7 039 648 строк из 12 monthly snapshot-файлов за 2020 год, parse errors = 0, найдено 286 уникальных сущностей в 10 family-группах.</w:t>
            </w:r>
          </w:p>
        </w:tc>
      </w:tr>
      <w:tr>
        <w:tc>
          <w:tcPr>
            <w:tcW w:type="dxa" w:w="4929"/>
            <w:vAlign w:val="center"/>
            <w:shd w:fill="D9EAF7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20"/>
              </w:rPr>
              <w:t>Что реально покрыто сейчас</w:t>
            </w:r>
          </w:p>
        </w:tc>
        <w:tc>
          <w:tcPr>
            <w:tcW w:type="dxa" w:w="4929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20"/>
              </w:rPr>
              <w:t>На уровне V1/M2.3c подтверждены прежде всего сценарии по контрагентам и документам; account-сценарии видны, но еще ограничены materialization/account-scope проблемами; contract-сценарии требуют специализированных recipe.</w:t>
            </w:r>
          </w:p>
        </w:tc>
      </w:tr>
      <w:tr>
        <w:tc>
          <w:tcPr>
            <w:tcW w:type="dxa" w:w="4929"/>
            <w:vAlign w:val="center"/>
            <w:shd w:fill="EAF3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20"/>
              </w:rPr>
              <w:t>Что с НДС</w:t>
            </w:r>
          </w:p>
        </w:tc>
        <w:tc>
          <w:tcPr>
            <w:tcW w:type="dxa" w:w="4929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20"/>
              </w:rPr>
              <w:t>НДС-сущности и related entities в inventory присутствуют, но в текущий whitelist intents/runtime V1 они не входят как отдельный поддержанный домен.</w:t>
            </w:r>
          </w:p>
        </w:tc>
      </w:tr>
    </w:tbl>
    <w:p/>
    <w:p>
      <w:pPr>
        <w:pStyle w:val="Heading1"/>
      </w:pPr>
      <w:r>
        <w:t>1. Что находится в архиве</w:t>
      </w:r>
    </w:p>
    <w:p>
      <w:pPr>
        <w:spacing w:after="40"/>
      </w:pPr>
      <w:r>
        <w:rPr>
          <w:b/>
        </w:rPr>
        <w:t xml:space="preserve">• </w:t>
      </w:r>
      <w:r>
        <w:t>Главный README описывает пакет как набор документов для перехода к отдельному runtime-режиму `question_mode=address_query`.</w:t>
      </w:r>
    </w:p>
    <w:p>
      <w:pPr>
        <w:spacing w:after="40"/>
      </w:pPr>
      <w:r>
        <w:rPr>
          <w:b/>
        </w:rPr>
        <w:t xml:space="preserve">• </w:t>
      </w:r>
      <w:r>
        <w:t>Есть слой системной инвентаризации сущностей 1С по snapshot-корпусу 2020: entity inventory JSON-артефакты, relation/intention support sets, readable summary, run summary.</w:t>
      </w:r>
    </w:p>
    <w:p>
      <w:pPr>
        <w:spacing w:after="40"/>
      </w:pPr>
      <w:r>
        <w:rPr>
          <w:b/>
        </w:rPr>
        <w:t xml:space="preserve">• </w:t>
      </w:r>
      <w:r>
        <w:t>Есть продуктовый слой: scenario matrix, query recipes, runtime contracts, integration plan, readiness matrix, question bank, acceptance suites и UI dry-run наборы.</w:t>
      </w:r>
    </w:p>
    <w:p>
      <w:pPr>
        <w:spacing w:after="40"/>
      </w:pPr>
      <w:r>
        <w:rPr>
          <w:b/>
        </w:rPr>
        <w:t xml:space="preserve">• </w:t>
      </w:r>
      <w:r>
        <w:t>То есть архив сочетает два уровня: исследование структуры 1С-базы и проектирование прикладного factual-query runtime поверх этой структуры.</w:t>
      </w:r>
    </w:p>
    <w:p>
      <w:pPr>
        <w:pStyle w:val="Heading1"/>
      </w:pPr>
      <w:r>
        <w:t>2. Структура пакета по смысловым блокам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84"/>
        <w:gridCol w:w="3118"/>
        <w:gridCol w:w="3969"/>
      </w:tblGrid>
      <w:tr>
        <w:tc>
          <w:tcPr>
            <w:tcW w:type="dxa" w:w="3286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Блок</w:t>
            </w:r>
          </w:p>
        </w:tc>
        <w:tc>
          <w:tcPr>
            <w:tcW w:type="dxa" w:w="3286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Ключевые файлы</w:t>
            </w:r>
          </w:p>
        </w:tc>
        <w:tc>
          <w:tcPr>
            <w:tcW w:type="dxa" w:w="3286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Зачем нужен</w:t>
            </w:r>
          </w:p>
        </w:tc>
      </w:tr>
      <w:tr>
        <w:tc>
          <w:tcPr>
            <w:tcW w:type="dxa" w:w="198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Инвентаризация 1С</w:t>
            </w:r>
          </w:p>
        </w:tc>
        <w:tc>
          <w:tcPr>
            <w:tcW w:type="dxa" w:w="311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entity_map_1c_2020.md, entity_inventory_*.json, run_summary.json</w:t>
            </w:r>
          </w:p>
        </w:tc>
        <w:tc>
          <w:tcPr>
            <w:tcW w:type="dxa" w:w="3969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Показывает, какие сущности есть в snapshot-корпусе, насколько они query-suitable и какие relation patterns обнаружены.</w:t>
            </w:r>
          </w:p>
        </w:tc>
      </w:tr>
      <w:tr>
        <w:tc>
          <w:tcPr>
            <w:tcW w:type="dxa" w:w="198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Сценарии и intents</w:t>
            </w:r>
          </w:p>
        </w:tc>
        <w:tc>
          <w:tcPr>
            <w:tcW w:type="dxa" w:w="311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address_scenario_matrix.md, question_bank_v1.md</w:t>
            </w:r>
          </w:p>
        </w:tc>
        <w:tc>
          <w:tcPr>
            <w:tcW w:type="dxa" w:w="3969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Фиксирует пользовательские вопросы, intent mapping, приоритеты и expected response types.</w:t>
            </w:r>
          </w:p>
        </w:tc>
      </w:tr>
      <w:tr>
        <w:tc>
          <w:tcPr>
            <w:tcW w:type="dxa" w:w="198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Recipe-слой</w:t>
            </w:r>
          </w:p>
        </w:tc>
        <w:tc>
          <w:tcPr>
            <w:tcW w:type="dxa" w:w="311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query_recipes_v1.md, address_runtime_contracts.md</w:t>
            </w:r>
          </w:p>
        </w:tc>
        <w:tc>
          <w:tcPr>
            <w:tcW w:type="dxa" w:w="3969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Задает безопасный runtime-контур: intent -&gt; filters -&gt; recipe -&gt; MCP -&gt; factual result.</w:t>
            </w:r>
          </w:p>
        </w:tc>
      </w:tr>
      <w:tr>
        <w:tc>
          <w:tcPr>
            <w:tcW w:type="dxa" w:w="198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Интеграция и готовность</w:t>
            </w:r>
          </w:p>
        </w:tc>
        <w:tc>
          <w:tcPr>
            <w:tcW w:type="dxa" w:w="311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runtime_integration_plan.md, runtime_readiness_matrix_v1.md, execution_lineup_v1_2026-03-29.md</w:t>
            </w:r>
          </w:p>
        </w:tc>
        <w:tc>
          <w:tcPr>
            <w:tcW w:type="dxa" w:w="3969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Показывает, как это встраивается и какие сценарии уже живы, а какие еще нет.</w:t>
            </w:r>
          </w:p>
        </w:tc>
      </w:tr>
      <w:tr>
        <w:tc>
          <w:tcPr>
            <w:tcW w:type="dxa" w:w="198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Acceptance и dry-run</w:t>
            </w:r>
          </w:p>
        </w:tc>
        <w:tc>
          <w:tcPr>
            <w:tcW w:type="dxa" w:w="311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curated_positive_live_suite_v1.md, data_aware_positive_acceptance_suite_v1.md, ui_dry_run_*</w:t>
            </w:r>
          </w:p>
        </w:tc>
        <w:tc>
          <w:tcPr>
            <w:tcW w:type="dxa" w:w="3969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Нужны для live-проверки, контроля false factual и ручного прогона поддержанных вопросов.</w:t>
            </w:r>
          </w:p>
        </w:tc>
      </w:tr>
    </w:tbl>
    <w:p/>
    <w:p>
      <w:pPr>
        <w:pStyle w:val="Heading1"/>
      </w:pPr>
      <w:r>
        <w:t>3. Масштаб и состав inventory по базе 1С</w:t>
      </w:r>
    </w:p>
    <w:p>
      <w:pPr>
        <w:spacing w:after="40"/>
      </w:pPr>
      <w:r>
        <w:rPr>
          <w:b/>
        </w:rPr>
        <w:t xml:space="preserve">• </w:t>
      </w:r>
      <w:r>
        <w:t>Источник данных: 12 monthly NDJSON snapshots за 2020 год.</w:t>
      </w:r>
    </w:p>
    <w:p>
      <w:pPr>
        <w:spacing w:after="40"/>
      </w:pPr>
      <w:r>
        <w:rPr>
          <w:b/>
        </w:rPr>
        <w:t xml:space="preserve">• </w:t>
      </w:r>
      <w:r>
        <w:t>Обработано 7 039 648 строк без parse errors.</w:t>
      </w:r>
    </w:p>
    <w:p>
      <w:pPr>
        <w:spacing w:after="40"/>
      </w:pPr>
      <w:r>
        <w:rPr>
          <w:b/>
        </w:rPr>
        <w:t xml:space="preserve">• </w:t>
      </w:r>
      <w:r>
        <w:t>Найдено 286 сущностей в 10 family-группах.</w:t>
      </w:r>
    </w:p>
    <w:p>
      <w:pPr>
        <w:spacing w:after="40"/>
      </w:pPr>
      <w:r>
        <w:rPr>
          <w:b/>
        </w:rPr>
        <w:t xml:space="preserve">• </w:t>
      </w:r>
      <w:r>
        <w:t>Наиболее крупный пласт по строкам - INFORMATION_REGISTER (6,3 млн строк), но адресный runtime строится прежде всего на регистрах, документах, журналах и справочниках.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778"/>
        <w:gridCol w:w="1304"/>
        <w:gridCol w:w="1587"/>
        <w:gridCol w:w="3402"/>
      </w:tblGrid>
      <w:tr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Family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Сущностей / строк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Приоритет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Комментарий</w:t>
            </w:r>
          </w:p>
        </w:tc>
      </w:tr>
      <w:tr>
        <w:tc>
          <w:tcPr>
            <w:tcW w:type="dxa" w:w="277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DOCUMENT</w:t>
            </w:r>
          </w:p>
        </w:tc>
        <w:tc>
          <w:tcPr>
            <w:tcW w:type="dxa" w:w="130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77 / 202 636</w:t>
            </w:r>
          </w:p>
        </w:tc>
        <w:tc>
          <w:tcPr>
            <w:tcW w:type="dxa" w:w="1587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все P0</w:t>
            </w:r>
          </w:p>
        </w:tc>
        <w:tc>
          <w:tcPr>
            <w:tcW w:type="dxa" w:w="3402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Главный источник document-level factual lookup.</w:t>
            </w:r>
          </w:p>
        </w:tc>
      </w:tr>
      <w:tr>
        <w:tc>
          <w:tcPr>
            <w:tcW w:type="dxa" w:w="277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ACCOUNTING_REGISTER</w:t>
            </w:r>
          </w:p>
        </w:tc>
        <w:tc>
          <w:tcPr>
            <w:tcW w:type="dxa" w:w="130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2 / 190 244</w:t>
            </w:r>
          </w:p>
        </w:tc>
        <w:tc>
          <w:tcPr>
            <w:tcW w:type="dxa" w:w="1587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оба P0</w:t>
            </w:r>
          </w:p>
        </w:tc>
        <w:tc>
          <w:tcPr>
            <w:tcW w:type="dxa" w:w="3402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Ключ к остаткам, хвостам и drilldown по проводкам.</w:t>
            </w:r>
          </w:p>
        </w:tc>
      </w:tr>
      <w:tr>
        <w:tc>
          <w:tcPr>
            <w:tcW w:type="dxa" w:w="277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NSI_CATALOG</w:t>
            </w:r>
          </w:p>
        </w:tc>
        <w:tc>
          <w:tcPr>
            <w:tcW w:type="dxa" w:w="130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50 / 140 050</w:t>
            </w:r>
          </w:p>
        </w:tc>
        <w:tc>
          <w:tcPr>
            <w:tcW w:type="dxa" w:w="1587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3 P0 / 47 P1</w:t>
            </w:r>
          </w:p>
        </w:tc>
        <w:tc>
          <w:tcPr>
            <w:tcW w:type="dxa" w:w="3402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Нужен для договоров, контрагентов и фильтровых резолверов.</w:t>
            </w:r>
          </w:p>
        </w:tc>
      </w:tr>
      <w:tr>
        <w:tc>
          <w:tcPr>
            <w:tcW w:type="dxa" w:w="277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DOCUMENT_JOURNAL</w:t>
            </w:r>
          </w:p>
        </w:tc>
        <w:tc>
          <w:tcPr>
            <w:tcW w:type="dxa" w:w="130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12 / 126 868</w:t>
            </w:r>
          </w:p>
        </w:tc>
        <w:tc>
          <w:tcPr>
            <w:tcW w:type="dxa" w:w="1587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все P1</w:t>
            </w:r>
          </w:p>
        </w:tc>
        <w:tc>
          <w:tcPr>
            <w:tcW w:type="dxa" w:w="3402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Быстрый индекс документов и банковских выписок.</w:t>
            </w:r>
          </w:p>
        </w:tc>
      </w:tr>
      <w:tr>
        <w:tc>
          <w:tcPr>
            <w:tcW w:type="dxa" w:w="277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ACCUMULATION_REGISTER</w:t>
            </w:r>
          </w:p>
        </w:tc>
        <w:tc>
          <w:tcPr>
            <w:tcW w:type="dxa" w:w="130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36 / 73 022</w:t>
            </w:r>
          </w:p>
        </w:tc>
        <w:tc>
          <w:tcPr>
            <w:tcW w:type="dxa" w:w="1587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все P0</w:t>
            </w:r>
          </w:p>
        </w:tc>
        <w:tc>
          <w:tcPr>
            <w:tcW w:type="dxa" w:w="3402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В inventory высоко видимы, но в runtime V1 почти не заведены как отдельные intents.</w:t>
            </w:r>
          </w:p>
        </w:tc>
      </w:tr>
    </w:tbl>
    <w:p/>
    <w:p>
      <w:pPr>
        <w:pStyle w:val="Heading1"/>
      </w:pPr>
      <w:r>
        <w:t>4. Какие домены реально прорабатываются</w:t>
      </w:r>
    </w:p>
    <w:p>
      <w:pPr>
        <w:spacing w:after="40"/>
      </w:pPr>
      <w:r>
        <w:rPr>
          <w:b/>
        </w:rPr>
        <w:t xml:space="preserve">• </w:t>
      </w:r>
      <w:r>
        <w:t>Ключевой продуктовый домен - адресные factual-вопросы по взаиморасчетам и документам, а не произвольная аналитика по всей базе.</w:t>
      </w:r>
    </w:p>
    <w:p>
      <w:pPr>
        <w:spacing w:after="40"/>
      </w:pPr>
      <w:r>
        <w:rPr>
          <w:b/>
        </w:rPr>
        <w:t xml:space="preserve">• </w:t>
      </w:r>
      <w:r>
        <w:t>Судя по scenario matrix, question bank и runtime contracts, текущий V1 разбит не по классическим бухгалтерским разделам, а по operational query-доменам.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68"/>
        <w:gridCol w:w="3118"/>
        <w:gridCol w:w="1587"/>
        <w:gridCol w:w="2098"/>
      </w:tblGrid>
      <w:tr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Домен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Что входит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Статус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Комментарий</w:t>
            </w:r>
          </w:p>
        </w:tc>
      </w:tr>
      <w:tr>
        <w:tc>
          <w:tcPr>
            <w:tcW w:type="dxa" w:w="226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Контрагенты и задолженность</w:t>
            </w:r>
          </w:p>
        </w:tc>
        <w:tc>
          <w:tcPr>
            <w:tcW w:type="dxa" w:w="311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payables, receivables, open items by counterparty</w:t>
            </w:r>
          </w:p>
        </w:tc>
        <w:tc>
          <w:tcPr>
            <w:tcW w:type="dxa" w:w="1587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ядро V1</w:t>
            </w:r>
          </w:p>
        </w:tc>
        <w:tc>
          <w:tcPr>
            <w:tcW w:type="dxa" w:w="209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Самый зрелый блок; есть curated positive cases и live-with-limits.</w:t>
            </w:r>
          </w:p>
        </w:tc>
      </w:tr>
      <w:tr>
        <w:tc>
          <w:tcPr>
            <w:tcW w:type="dxa" w:w="226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Счета и остатки</w:t>
            </w:r>
          </w:p>
        </w:tc>
        <w:tc>
          <w:tcPr>
            <w:tcW w:type="dxa" w:w="311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account balance, balance docs, turnover</w:t>
            </w:r>
          </w:p>
        </w:tc>
        <w:tc>
          <w:tcPr>
            <w:tcW w:type="dxa" w:w="1587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частично</w:t>
            </w:r>
          </w:p>
        </w:tc>
        <w:tc>
          <w:tcPr>
            <w:tcW w:type="dxa" w:w="209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Структурно готово, но account-scope/materialization ограничивает стабильные non-empty ответы.</w:t>
            </w:r>
          </w:p>
        </w:tc>
      </w:tr>
      <w:tr>
        <w:tc>
          <w:tcPr>
            <w:tcW w:type="dxa" w:w="226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Договоры</w:t>
            </w:r>
          </w:p>
        </w:tc>
        <w:tc>
          <w:tcPr>
            <w:tcW w:type="dxa" w:w="311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open contracts, docs/open items by contract</w:t>
            </w:r>
          </w:p>
        </w:tc>
        <w:tc>
          <w:tcPr>
            <w:tcW w:type="dxa" w:w="1587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не дожато</w:t>
            </w:r>
          </w:p>
        </w:tc>
        <w:tc>
          <w:tcPr>
            <w:tcW w:type="dxa" w:w="209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Есть в дизайне, но нужны specialized recipe и resolver path.</w:t>
            </w:r>
          </w:p>
        </w:tc>
      </w:tr>
      <w:tr>
        <w:tc>
          <w:tcPr>
            <w:tcW w:type="dxa" w:w="226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Документы и банковские операции</w:t>
            </w:r>
          </w:p>
        </w:tc>
        <w:tc>
          <w:tcPr>
            <w:tcW w:type="dxa" w:w="311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docs by counterparty, bank ops, list by type</w:t>
            </w:r>
          </w:p>
        </w:tc>
        <w:tc>
          <w:tcPr>
            <w:tcW w:type="dxa" w:w="1587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ближе к рабочему</w:t>
            </w:r>
          </w:p>
        </w:tc>
        <w:tc>
          <w:tcPr>
            <w:tcW w:type="dxa" w:w="209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Именно здесь подтверждены live non-empty кейсы по counterparty family.</w:t>
            </w:r>
          </w:p>
        </w:tc>
      </w:tr>
      <w:tr>
        <w:tc>
          <w:tcPr>
            <w:tcW w:type="dxa" w:w="226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НДС и налоговые сущности</w:t>
            </w:r>
          </w:p>
        </w:tc>
        <w:tc>
          <w:tcPr>
            <w:tcW w:type="dxa" w:w="311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НДС-регистры, счета-фактуры, НДС-документы в inventory</w:t>
            </w:r>
          </w:p>
        </w:tc>
        <w:tc>
          <w:tcPr>
            <w:tcW w:type="dxa" w:w="1587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не runtime V1</w:t>
            </w:r>
          </w:p>
        </w:tc>
        <w:tc>
          <w:tcPr>
            <w:tcW w:type="dxa" w:w="209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Есть в инвентаризации, но не заведены как whitelist intents.</w:t>
            </w:r>
          </w:p>
        </w:tc>
      </w:tr>
    </w:tbl>
    <w:p/>
    <w:p>
      <w:pPr>
        <w:pStyle w:val="Heading1"/>
      </w:pPr>
      <w:r>
        <w:t>5. Какие intents поддержаны по документам</w:t>
      </w:r>
    </w:p>
    <w:p>
      <w:pPr>
        <w:spacing w:after="40"/>
      </w:pPr>
      <w:r>
        <w:rPr>
          <w:b/>
        </w:rPr>
        <w:t xml:space="preserve">• </w:t>
      </w:r>
      <w:r>
        <w:t>P0-ядро, зафиксированное в bootstrap report: `list_open_contracts`, `list_payables_counterparties`, `list_receivables_counterparties`, `account_balance_snapshot`, `open_items_by_counterparty_or_contract`.</w:t>
      </w:r>
    </w:p>
    <w:p>
      <w:pPr>
        <w:spacing w:after="40"/>
      </w:pPr>
      <w:r>
        <w:rPr>
          <w:b/>
        </w:rPr>
        <w:t xml:space="preserve">• </w:t>
      </w:r>
      <w:r>
        <w:t>Как ближайшее расширение v1.1 перечислены: `list_documents_by_counterparty`, `list_documents_by_contract`, `documents_forming_balance`.</w:t>
      </w:r>
    </w:p>
    <w:p>
      <w:pPr>
        <w:spacing w:after="40"/>
      </w:pPr>
      <w:r>
        <w:rPr>
          <w:b/>
        </w:rPr>
        <w:t xml:space="preserve">• </w:t>
      </w:r>
      <w:r>
        <w:t>Фактически в live runtime на момент пакета явно реализованы: `list_documents_by_counterparty`, `bank_operations_by_counterparty`, `documents_forming_balance`.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474"/>
        <w:gridCol w:w="2778"/>
        <w:gridCol w:w="2098"/>
        <w:gridCol w:w="2721"/>
      </w:tblGrid>
      <w:tr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ID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Сценарий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Статус</w:t>
            </w:r>
          </w:p>
        </w:tc>
        <w:tc>
          <w:tcPr>
            <w:tcW w:type="dxa" w:w="2465"/>
            <w:vAlign w:val="center"/>
            <w:shd w:fill="3E6B8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FFFFFF"/>
                <w:sz w:val="20"/>
              </w:rPr>
              <w:t>Что мешает</w:t>
            </w:r>
          </w:p>
        </w:tc>
      </w:tr>
      <w:tr>
        <w:tc>
          <w:tcPr>
            <w:tcW w:type="dxa" w:w="147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AQ-P0-02</w:t>
            </w:r>
          </w:p>
        </w:tc>
        <w:tc>
          <w:tcPr>
            <w:tcW w:type="dxa" w:w="277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payables by counterparty</w:t>
            </w:r>
          </w:p>
        </w:tc>
        <w:tc>
          <w:tcPr>
            <w:tcW w:type="dxa" w:w="209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live, но с ограничениями</w:t>
            </w:r>
          </w:p>
        </w:tc>
        <w:tc>
          <w:tcPr>
            <w:tcW w:type="dxa" w:w="2721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Широкие промпты пока дают sparse matches.</w:t>
            </w:r>
          </w:p>
        </w:tc>
      </w:tr>
      <w:tr>
        <w:tc>
          <w:tcPr>
            <w:tcW w:type="dxa" w:w="147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AQ-P0-03</w:t>
            </w:r>
          </w:p>
        </w:tc>
        <w:tc>
          <w:tcPr>
            <w:tcW w:type="dxa" w:w="277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receivables by counterparty</w:t>
            </w:r>
          </w:p>
        </w:tc>
        <w:tc>
          <w:tcPr>
            <w:tcW w:type="dxa" w:w="209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live, но с ограничениями</w:t>
            </w:r>
          </w:p>
        </w:tc>
        <w:tc>
          <w:tcPr>
            <w:tcW w:type="dxa" w:w="2721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Нужны более точные period hints и anchor refinement.</w:t>
            </w:r>
          </w:p>
        </w:tc>
      </w:tr>
      <w:tr>
        <w:tc>
          <w:tcPr>
            <w:tcW w:type="dxa" w:w="147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AQ-P0-04</w:t>
            </w:r>
          </w:p>
        </w:tc>
        <w:tc>
          <w:tcPr>
            <w:tcW w:type="dxa" w:w="277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account balance snapshot</w:t>
            </w:r>
          </w:p>
        </w:tc>
        <w:tc>
          <w:tcPr>
            <w:tcW w:type="dxa" w:w="209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live, но с ограничениями</w:t>
            </w:r>
          </w:p>
        </w:tc>
        <w:tc>
          <w:tcPr>
            <w:tcW w:type="dxa" w:w="2721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Строки приходят, но выпадают до materialization.</w:t>
            </w:r>
          </w:p>
        </w:tc>
      </w:tr>
      <w:tr>
        <w:tc>
          <w:tcPr>
            <w:tcW w:type="dxa" w:w="147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AQ-P0-05</w:t>
            </w:r>
          </w:p>
        </w:tc>
        <w:tc>
          <w:tcPr>
            <w:tcW w:type="dxa" w:w="277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open items by counterparty</w:t>
            </w:r>
          </w:p>
        </w:tc>
        <w:tc>
          <w:tcPr>
            <w:tcW w:type="dxa" w:w="209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live, но с ограничениями</w:t>
            </w:r>
          </w:p>
        </w:tc>
        <w:tc>
          <w:tcPr>
            <w:tcW w:type="dxa" w:w="2721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Нужен явный counterparty anchor для стабильного non-empty.</w:t>
            </w:r>
          </w:p>
        </w:tc>
      </w:tr>
      <w:tr>
        <w:tc>
          <w:tcPr>
            <w:tcW w:type="dxa" w:w="147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AQ-P0-07</w:t>
            </w:r>
          </w:p>
        </w:tc>
        <w:tc>
          <w:tcPr>
            <w:tcW w:type="dxa" w:w="277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documents by counterparty</w:t>
            </w:r>
          </w:p>
        </w:tc>
        <w:tc>
          <w:tcPr>
            <w:tcW w:type="dxa" w:w="209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live, но с ограничениями</w:t>
            </w:r>
          </w:p>
        </w:tc>
        <w:tc>
          <w:tcPr>
            <w:tcW w:type="dxa" w:w="2721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Есть positive cases, но якоря еще хрупкие.</w:t>
            </w:r>
          </w:p>
        </w:tc>
      </w:tr>
      <w:tr>
        <w:tc>
          <w:tcPr>
            <w:tcW w:type="dxa" w:w="147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AQ-P0-07B</w:t>
            </w:r>
          </w:p>
        </w:tc>
        <w:tc>
          <w:tcPr>
            <w:tcW w:type="dxa" w:w="277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bank ops by counterparty</w:t>
            </w:r>
          </w:p>
        </w:tc>
        <w:tc>
          <w:tcPr>
            <w:tcW w:type="dxa" w:w="209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live, но с ограничениями</w:t>
            </w:r>
          </w:p>
        </w:tc>
        <w:tc>
          <w:tcPr>
            <w:tcW w:type="dxa" w:w="2721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Позитив подтвержден, но узкие/широкие варианты нестабильны.</w:t>
            </w:r>
          </w:p>
        </w:tc>
      </w:tr>
      <w:tr>
        <w:tc>
          <w:tcPr>
            <w:tcW w:type="dxa" w:w="1474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AQ-P0-01/06/08</w:t>
            </w:r>
          </w:p>
        </w:tc>
        <w:tc>
          <w:tcPr>
            <w:tcW w:type="dxa" w:w="277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contract-related scenarios</w:t>
            </w:r>
          </w:p>
        </w:tc>
        <w:tc>
          <w:tcPr>
            <w:tcW w:type="dxa" w:w="2098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требует спец. recipe</w:t>
            </w:r>
          </w:p>
        </w:tc>
        <w:tc>
          <w:tcPr>
            <w:tcW w:type="dxa" w:w="2721"/>
            <w:vAlign w:val="center"/>
            <w:shd w:fill="EEF5FA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Не хватает contract-aware recipe и contract resolver.</w:t>
            </w:r>
          </w:p>
        </w:tc>
      </w:tr>
      <w:tr>
        <w:tc>
          <w:tcPr>
            <w:tcW w:type="dxa" w:w="1474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AQ-P0-09</w:t>
            </w:r>
          </w:p>
        </w:tc>
        <w:tc>
          <w:tcPr>
            <w:tcW w:type="dxa" w:w="277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documents forming balance</w:t>
            </w:r>
          </w:p>
        </w:tc>
        <w:tc>
          <w:tcPr>
            <w:tcW w:type="dxa" w:w="2098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live, но с ограничениями</w:t>
            </w:r>
          </w:p>
        </w:tc>
        <w:tc>
          <w:tcPr>
            <w:tcW w:type="dxa" w:w="2721"/>
            <w:vAlign w:val="center"/>
            <w:shd w:fill="F7FBFE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8"/>
              </w:rPr>
              <w:t>Account family still blocked before materialization.</w:t>
            </w:r>
          </w:p>
        </w:tc>
      </w:tr>
    </w:tbl>
    <w:p/>
    <w:p>
      <w:pPr>
        <w:pStyle w:val="Heading1"/>
      </w:pPr>
      <w:r>
        <w:t>6. Какие сущности являются опорными</w:t>
      </w:r>
    </w:p>
    <w:p>
      <w:pPr>
        <w:spacing w:after="40"/>
      </w:pPr>
      <w:r>
        <w:rPr>
          <w:b/>
        </w:rPr>
        <w:t xml:space="preserve">• </w:t>
      </w:r>
      <w:r>
        <w:t>Главная структурная опора - `AccountingRegister_Хозрасчетный_RecordType`: через него идут account, document, organization и часть business drilldown связей.</w:t>
      </w:r>
    </w:p>
    <w:p>
      <w:pPr>
        <w:spacing w:after="40"/>
      </w:pPr>
      <w:r>
        <w:rPr>
          <w:b/>
        </w:rPr>
        <w:t xml:space="preserve">• </w:t>
      </w:r>
      <w:r>
        <w:t>Из документов центральны `СписаниеСРасчетногоСчета`, `ПоступлениеНаРасчетныйСчет`, их строки расшифровки платежа, а также `АктСверкиВзаиморасчетов`.</w:t>
      </w:r>
    </w:p>
    <w:p>
      <w:pPr>
        <w:spacing w:after="40"/>
      </w:pPr>
      <w:r>
        <w:rPr>
          <w:b/>
        </w:rPr>
        <w:t xml:space="preserve">• </w:t>
      </w:r>
      <w:r>
        <w:t>Из справочников критичен `Catalog_ДоговорыКонтрагентов`; при этом `Catalog_Контрагенты`, `Catalog_Организации`, `Catalog_БанковскиеСчета` формально в triage отмечены как P1, но фактически обязательны для фильтров и resolver-логики.</w:t>
      </w:r>
    </w:p>
    <w:p>
      <w:pPr>
        <w:spacing w:after="40"/>
      </w:pPr>
      <w:r>
        <w:rPr>
          <w:b/>
        </w:rPr>
        <w:t xml:space="preserve">• </w:t>
      </w:r>
      <w:r>
        <w:t>Document journals (`ДокументыПоставщиков`, `ДокументыПокупателей`, `БанковскиеВыписки`) играют роль быстрого индексного слоя для list/drilldown сценариев.</w:t>
      </w:r>
    </w:p>
    <w:p>
      <w:pPr>
        <w:pStyle w:val="Heading1"/>
      </w:pPr>
      <w:r>
        <w:t>7. Что можно сказать про НДС</w:t>
      </w:r>
    </w:p>
    <w:p>
      <w:pPr>
        <w:spacing w:after="40"/>
      </w:pPr>
      <w:r>
        <w:rPr>
          <w:b/>
        </w:rPr>
        <w:t xml:space="preserve">• </w:t>
      </w:r>
      <w:r>
        <w:t>В inventory присутствуют НДС-регистры и связанные сущности: `AccumulationRegister_НДСПредъявленный`, `AccumulationRegister_НДСЗаписиКнигиПокупок`, `AccumulationRegister_НДСЗаписиКнигиПродаж`, документы `СчетФактураПолученный`, `СчетФактураВыданный`, `СписаниеНДС`, журнал `РегламентныеДокументыНДС`.</w:t>
      </w:r>
    </w:p>
    <w:p>
      <w:pPr>
        <w:spacing w:after="40"/>
      </w:pPr>
      <w:r>
        <w:rPr>
          <w:b/>
        </w:rPr>
        <w:t xml:space="preserve">• </w:t>
      </w:r>
      <w:r>
        <w:t>Однако в scenario matrix, recipe catalog и readiness matrix они не оформлены как отдельный runtime-домен текущего `address_query`.</w:t>
      </w:r>
    </w:p>
    <w:p>
      <w:pPr>
        <w:spacing w:after="40"/>
      </w:pPr>
      <w:r>
        <w:rPr>
          <w:b/>
        </w:rPr>
        <w:t xml:space="preserve">• </w:t>
      </w:r>
      <w:r>
        <w:t>Поэтому корректный вывод такой: НДС уже есть в структурной инвентаризации базы, но в текущем пакете это не целевое продуктовое покрытие V1.</w:t>
      </w:r>
    </w:p>
    <w:p>
      <w:pPr>
        <w:pStyle w:val="Heading1"/>
      </w:pPr>
      <w:r>
        <w:t>8. Ограничения и риски</w:t>
      </w:r>
    </w:p>
    <w:p>
      <w:pPr>
        <w:spacing w:after="40"/>
      </w:pPr>
      <w:r>
        <w:rPr>
          <w:b/>
        </w:rPr>
        <w:t xml:space="preserve">• </w:t>
      </w:r>
      <w:r>
        <w:t>Часть labels и entity names в исходном экспорте испорчена cp1251/utf8 mojibake; потребуется финальный decoding/cleanup перед production binding.</w:t>
      </w:r>
    </w:p>
    <w:p>
      <w:pPr>
        <w:spacing w:after="40"/>
      </w:pPr>
      <w:r>
        <w:rPr>
          <w:b/>
        </w:rPr>
        <w:t xml:space="preserve">• </w:t>
      </w:r>
      <w:r>
        <w:t>Без business resolvers нельзя надежно переходить от имени контрагента, договора или счета к ID.</w:t>
      </w:r>
    </w:p>
    <w:p>
      <w:pPr>
        <w:spacing w:after="40"/>
      </w:pPr>
      <w:r>
        <w:rPr>
          <w:b/>
        </w:rPr>
        <w:t xml:space="preserve">• </w:t>
      </w:r>
      <w:r>
        <w:t>Free-form query builder специально запрещен; доступ предполагается только через whitelist recipe.</w:t>
      </w:r>
    </w:p>
    <w:p>
      <w:pPr>
        <w:spacing w:after="40"/>
      </w:pPr>
      <w:r>
        <w:rPr>
          <w:b/>
        </w:rPr>
        <w:t xml:space="preserve">• </w:t>
      </w:r>
      <w:r>
        <w:t>Compound factual вопросы пока только детектируются, но не исполняются как multi-intent decomposition.</w:t>
      </w:r>
    </w:p>
    <w:p>
      <w:pPr>
        <w:spacing w:after="40"/>
      </w:pPr>
      <w:r>
        <w:rPr>
          <w:b/>
        </w:rPr>
        <w:t xml:space="preserve">• </w:t>
      </w:r>
      <w:r>
        <w:t>Account-семейство пока не дает стабильный поток до materialization, хотя сырье на входе уже есть.</w:t>
      </w:r>
    </w:p>
    <w:p>
      <w:pPr>
        <w:pStyle w:val="Heading1"/>
      </w:pPr>
      <w:r>
        <w:t>9. Выводы по текущему состоянию</w:t>
      </w:r>
    </w:p>
    <w:p>
      <w:pPr>
        <w:spacing w:after="40"/>
      </w:pPr>
      <w:r>
        <w:rPr>
          <w:b/>
        </w:rPr>
        <w:t xml:space="preserve">• </w:t>
      </w:r>
      <w:r>
        <w:t>Архив уже дает хорошую картину по 1С-сущностям и будущему runtime.</w:t>
      </w:r>
    </w:p>
    <w:p>
      <w:pPr>
        <w:spacing w:after="40"/>
      </w:pPr>
      <w:r>
        <w:rPr>
          <w:b/>
        </w:rPr>
        <w:t xml:space="preserve">• </w:t>
      </w:r>
      <w:r>
        <w:t>Сейчас реально прорабатывается не вся база и не весь бухгалтерский домен, а конкретный address-query слой: контрагенты, задолженность, договоры, документы, банковские операции, остатки/расшифровка по счетам.</w:t>
      </w:r>
    </w:p>
    <w:p>
      <w:pPr>
        <w:spacing w:after="40"/>
      </w:pPr>
      <w:r>
        <w:rPr>
          <w:b/>
        </w:rPr>
        <w:t xml:space="preserve">• </w:t>
      </w:r>
      <w:r>
        <w:t>Самый зрелый operational блок - counterparty/document lookup.</w:t>
      </w:r>
    </w:p>
    <w:p>
      <w:pPr>
        <w:spacing w:after="40"/>
      </w:pPr>
      <w:r>
        <w:rPr>
          <w:b/>
        </w:rPr>
        <w:t xml:space="preserve">• </w:t>
      </w:r>
      <w:r>
        <w:t>Contract-specific и account-specific сценарии структурно готовы, но требуют еще одного цикла реализации и настройки.</w:t>
      </w:r>
    </w:p>
    <w:p>
      <w:pPr>
        <w:spacing w:after="40"/>
      </w:pPr>
      <w:r>
        <w:rPr>
          <w:b/>
        </w:rPr>
        <w:t xml:space="preserve">• </w:t>
      </w:r>
      <w:r>
        <w:t>НДС виден в inventory и может стать следующим отдельным доменом, но в данном архиве это пока не активное runtime-покрытие.</w:t>
      </w:r>
    </w:p>
    <w:p>
      <w:pPr>
        <w:pStyle w:val="Heading1"/>
      </w:pPr>
      <w:r>
        <w:t>10. Практический next step</w:t>
      </w:r>
    </w:p>
    <w:p>
      <w:pPr>
        <w:spacing w:after="40"/>
      </w:pPr>
      <w:r>
        <w:rPr>
          <w:b/>
        </w:rPr>
        <w:t xml:space="preserve">• </w:t>
      </w:r>
      <w:r>
        <w:t>Собрать отдельную матрицу: “что есть в inventory” vs “что заведено в intents/recipes” vs “что уже реально работает live”.</w:t>
      </w:r>
    </w:p>
    <w:p>
      <w:pPr>
        <w:spacing w:after="40"/>
      </w:pPr>
      <w:r>
        <w:rPr>
          <w:b/>
        </w:rPr>
        <w:t xml:space="preserve">• </w:t>
      </w:r>
      <w:r>
        <w:t>Развести домены на 3 слоя: текущий рабочий V1, design-only backlog и visible-inventory but not productized.</w:t>
      </w:r>
    </w:p>
    <w:p>
      <w:pPr>
        <w:spacing w:after="40"/>
      </w:pPr>
      <w:r>
        <w:rPr>
          <w:b/>
        </w:rPr>
        <w:t xml:space="preserve">• </w:t>
      </w:r>
      <w:r>
        <w:t>Отдельно сделать shortlist по НДС/налоговым сущностям, если следующая цель - расширить покрытие за пределы address_query.</w:t>
      </w:r>
    </w:p>
    <w:sectPr w:rsidR="00FC693F" w:rsidRPr="0006063C" w:rsidSect="00034616">
      <w:pgSz w:w="12240" w:h="15840"/>
      <w:pgMar w:top="1134" w:right="113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9325A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D2D2D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932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rPr>
      <w:rFonts w:ascii="Arial" w:hAnsi="Arial" w:eastAsia="Arial"/>
      <w:color w:val="646464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